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2" w:rsidRPr="00C04B82" w:rsidRDefault="00C04B82" w:rsidP="00C04B82">
      <w:pPr>
        <w:pStyle w:val="Titr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auto"/>
          <w:sz w:val="32"/>
          <w:szCs w:val="32"/>
        </w:rPr>
      </w:pPr>
      <w:bookmarkStart w:id="0" w:name="_Toc435704287"/>
      <w:r w:rsidRPr="00C04B82">
        <w:rPr>
          <w:b/>
          <w:color w:val="auto"/>
          <w:sz w:val="32"/>
          <w:szCs w:val="32"/>
        </w:rPr>
        <w:t>Synthèse – Politique de soutien aux projets structurants</w:t>
      </w:r>
    </w:p>
    <w:p w:rsidR="00C04B82" w:rsidRPr="00192943" w:rsidRDefault="00C04B82" w:rsidP="00C04B82">
      <w:pPr>
        <w:pStyle w:val="Titre1"/>
        <w:numPr>
          <w:ilvl w:val="0"/>
          <w:numId w:val="1"/>
        </w:numPr>
        <w:rPr>
          <w:rFonts w:ascii="Century Gothic" w:hAnsi="Century Gothic"/>
          <w:color w:val="auto"/>
          <w:sz w:val="24"/>
          <w:szCs w:val="24"/>
        </w:rPr>
      </w:pPr>
      <w:r w:rsidRPr="00192943">
        <w:rPr>
          <w:rFonts w:ascii="Century Gothic" w:hAnsi="Century Gothic"/>
          <w:color w:val="auto"/>
          <w:sz w:val="24"/>
          <w:szCs w:val="24"/>
        </w:rPr>
        <w:t>Fonds local </w:t>
      </w:r>
    </w:p>
    <w:p w:rsidR="00C04B82" w:rsidRPr="00C04B82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b/>
          <w:sz w:val="20"/>
        </w:rPr>
        <w:t xml:space="preserve">Enveloppe </w:t>
      </w:r>
      <w:r w:rsidRPr="00C04B82">
        <w:rPr>
          <w:rFonts w:ascii="Century Gothic" w:hAnsi="Century Gothic"/>
          <w:b/>
          <w:sz w:val="20"/>
          <w:u w:val="single"/>
        </w:rPr>
        <w:t>annuelle</w:t>
      </w:r>
      <w:r w:rsidRPr="00C04B82">
        <w:rPr>
          <w:rFonts w:ascii="Century Gothic" w:hAnsi="Century Gothic"/>
          <w:b/>
          <w:sz w:val="20"/>
        </w:rPr>
        <w:t xml:space="preserve"> de 10 500$ pour chaque munici</w:t>
      </w:r>
      <w:r>
        <w:rPr>
          <w:rFonts w:ascii="Century Gothic" w:hAnsi="Century Gothic"/>
          <w:b/>
          <w:sz w:val="20"/>
        </w:rPr>
        <w:t>palité;</w:t>
      </w:r>
    </w:p>
    <w:p w:rsidR="00C04B82" w:rsidRPr="00C04B82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</w:rPr>
        <w:t>Le dépôt des projets se fait de façon continue tout au long de l’année;</w:t>
      </w:r>
    </w:p>
    <w:p w:rsidR="00C04B82" w:rsidRPr="00C04B82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C04B82">
        <w:rPr>
          <w:rFonts w:ascii="Century Gothic" w:hAnsi="Century Gothic"/>
          <w:sz w:val="20"/>
          <w:szCs w:val="20"/>
        </w:rPr>
        <w:t>Le projet doit être inscrit dans le plan de développement stratégique de la municipalité</w:t>
      </w:r>
      <w:r w:rsidR="006F10E2">
        <w:rPr>
          <w:rFonts w:ascii="Century Gothic" w:hAnsi="Century Gothic"/>
          <w:sz w:val="20"/>
          <w:szCs w:val="20"/>
        </w:rPr>
        <w:t xml:space="preserve"> et/ou accepté par le conseil municipal</w:t>
      </w:r>
      <w:r w:rsidRPr="00C04B82">
        <w:rPr>
          <w:rFonts w:ascii="Century Gothic" w:hAnsi="Century Gothic"/>
          <w:sz w:val="20"/>
          <w:szCs w:val="20"/>
        </w:rPr>
        <w:t>;</w:t>
      </w:r>
    </w:p>
    <w:p w:rsidR="00C04B82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56261">
        <w:rPr>
          <w:rFonts w:ascii="Century Gothic" w:hAnsi="Century Gothic"/>
          <w:sz w:val="20"/>
          <w:szCs w:val="20"/>
        </w:rPr>
        <w:t>Le projet doit être recommandé positivement par le comité de développement local et appuyé par une résolution du conseil muni</w:t>
      </w:r>
      <w:r>
        <w:rPr>
          <w:rFonts w:ascii="Century Gothic" w:hAnsi="Century Gothic"/>
          <w:sz w:val="20"/>
          <w:szCs w:val="20"/>
        </w:rPr>
        <w:t>cipal;</w:t>
      </w:r>
    </w:p>
    <w:p w:rsidR="00C04B82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56261">
        <w:rPr>
          <w:rFonts w:ascii="Century Gothic" w:hAnsi="Century Gothic"/>
          <w:sz w:val="20"/>
          <w:szCs w:val="20"/>
        </w:rPr>
        <w:t xml:space="preserve">Le projet </w:t>
      </w:r>
      <w:r w:rsidR="00CB0DA8">
        <w:rPr>
          <w:rFonts w:ascii="Century Gothic" w:hAnsi="Century Gothic"/>
          <w:sz w:val="20"/>
          <w:szCs w:val="20"/>
        </w:rPr>
        <w:t>peut</w:t>
      </w:r>
      <w:r w:rsidRPr="00256261">
        <w:rPr>
          <w:rFonts w:ascii="Century Gothic" w:hAnsi="Century Gothic"/>
          <w:sz w:val="20"/>
          <w:szCs w:val="20"/>
        </w:rPr>
        <w:t xml:space="preserve"> être porté par la municipalité concernée ou </w:t>
      </w:r>
      <w:r w:rsidR="00CB0DA8">
        <w:rPr>
          <w:rFonts w:ascii="Century Gothic" w:hAnsi="Century Gothic"/>
          <w:sz w:val="20"/>
          <w:szCs w:val="20"/>
        </w:rPr>
        <w:t xml:space="preserve">par tout autre organisme sans but lucratif </w:t>
      </w:r>
      <w:r>
        <w:rPr>
          <w:rFonts w:ascii="Century Gothic" w:hAnsi="Century Gothic"/>
          <w:sz w:val="20"/>
          <w:szCs w:val="20"/>
        </w:rPr>
        <w:t>dûment enregistré;</w:t>
      </w:r>
    </w:p>
    <w:p w:rsidR="00C04B82" w:rsidRPr="00256261" w:rsidRDefault="00C04B82" w:rsidP="00C04B82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56261">
        <w:rPr>
          <w:rFonts w:ascii="Century Gothic" w:hAnsi="Century Gothic"/>
          <w:sz w:val="20"/>
          <w:szCs w:val="20"/>
        </w:rPr>
        <w:t>Le projet doit être structurant et doit démontrer de façon significative sa pérennité.</w:t>
      </w:r>
    </w:p>
    <w:p w:rsidR="00C04B82" w:rsidRPr="00192943" w:rsidRDefault="00C04B82" w:rsidP="00C04B82">
      <w:pPr>
        <w:pStyle w:val="Titre1"/>
        <w:numPr>
          <w:ilvl w:val="0"/>
          <w:numId w:val="1"/>
        </w:numPr>
        <w:rPr>
          <w:rFonts w:ascii="Century Gothic" w:hAnsi="Century Gothic"/>
          <w:color w:val="auto"/>
          <w:sz w:val="24"/>
          <w:szCs w:val="24"/>
        </w:rPr>
      </w:pPr>
      <w:r w:rsidRPr="00192943">
        <w:rPr>
          <w:rFonts w:ascii="Century Gothic" w:hAnsi="Century Gothic"/>
          <w:color w:val="auto"/>
          <w:sz w:val="24"/>
          <w:szCs w:val="24"/>
        </w:rPr>
        <w:t xml:space="preserve">Fonds </w:t>
      </w:r>
      <w:r>
        <w:rPr>
          <w:rFonts w:ascii="Century Gothic" w:hAnsi="Century Gothic"/>
          <w:color w:val="auto"/>
          <w:sz w:val="24"/>
          <w:szCs w:val="24"/>
        </w:rPr>
        <w:t>inter-municipal et régional</w:t>
      </w:r>
      <w:r w:rsidRPr="00192943">
        <w:rPr>
          <w:rFonts w:ascii="Century Gothic" w:hAnsi="Century Gothic"/>
          <w:color w:val="auto"/>
          <w:sz w:val="24"/>
          <w:szCs w:val="24"/>
        </w:rPr>
        <w:t> </w:t>
      </w:r>
    </w:p>
    <w:p w:rsidR="00C04B82" w:rsidRPr="00192943" w:rsidRDefault="00C04B82" w:rsidP="00C04B82">
      <w:pPr>
        <w:pStyle w:val="Titre2"/>
        <w:numPr>
          <w:ilvl w:val="1"/>
          <w:numId w:val="1"/>
        </w:numPr>
        <w:ind w:left="1428"/>
        <w:contextualSpacing/>
        <w:rPr>
          <w:rFonts w:ascii="Century Gothic" w:hAnsi="Century Gothic"/>
          <w:i/>
          <w:color w:val="auto"/>
          <w:sz w:val="22"/>
          <w:szCs w:val="22"/>
        </w:rPr>
      </w:pPr>
      <w:r>
        <w:rPr>
          <w:rFonts w:ascii="Century Gothic" w:hAnsi="Century Gothic"/>
          <w:i/>
          <w:color w:val="auto"/>
          <w:sz w:val="22"/>
          <w:szCs w:val="22"/>
        </w:rPr>
        <w:t>Volet régional</w:t>
      </w:r>
      <w:bookmarkEnd w:id="0"/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b/>
          <w:sz w:val="20"/>
        </w:rPr>
        <w:t>Subventions pouvant aller jusqu’à un maximum de 25 000$ par projet</w:t>
      </w:r>
      <w:r w:rsidRPr="00C04B82">
        <w:rPr>
          <w:rFonts w:ascii="Century Gothic" w:hAnsi="Century Gothic"/>
          <w:sz w:val="20"/>
        </w:rPr>
        <w:t>;</w:t>
      </w:r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</w:rPr>
        <w:t>Deux appels de projets ont lieu annuellement, en mai et en octobre;</w:t>
      </w:r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  <w:szCs w:val="20"/>
        </w:rPr>
        <w:t>Le projet doit démontrer de façon mesurable la portée régionale. L’objectif souhaité est de rejoindre un minimum de 50% des municipalités du Témiscouata (9 municipalités), ou un minimum de 50% de la population;</w:t>
      </w:r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  <w:szCs w:val="20"/>
        </w:rPr>
        <w:t>Le projet doit être unique dans sa vocation;</w:t>
      </w:r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</w:rPr>
        <w:t xml:space="preserve">Le </w:t>
      </w:r>
      <w:r w:rsidRPr="00C04B82">
        <w:rPr>
          <w:rFonts w:ascii="Century Gothic" w:hAnsi="Century Gothic"/>
          <w:sz w:val="20"/>
          <w:szCs w:val="20"/>
        </w:rPr>
        <w:t xml:space="preserve">projet peut, entre autres, mettre en valeur une page d’histoire régionale, une partie du développement d’un secteur de la région ou encore rejoindre un groupe cible identifié dans </w:t>
      </w:r>
      <w:r w:rsidRPr="00C04B82">
        <w:rPr>
          <w:rFonts w:ascii="Century Gothic" w:hAnsi="Century Gothic"/>
          <w:sz w:val="20"/>
        </w:rPr>
        <w:t>toute planification requise par le conseil des maires ou inscrite dans les conditions des programmes sous la gouverne de la MRC</w:t>
      </w:r>
      <w:r w:rsidRPr="00C04B82">
        <w:rPr>
          <w:rFonts w:ascii="Century Gothic" w:hAnsi="Century Gothic"/>
          <w:sz w:val="20"/>
          <w:szCs w:val="20"/>
        </w:rPr>
        <w:t>;</w:t>
      </w:r>
    </w:p>
    <w:p w:rsidR="00C04B82" w:rsidRPr="00C04B82" w:rsidRDefault="00C04B82" w:rsidP="00C04B82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  <w:szCs w:val="20"/>
        </w:rPr>
        <w:t>Le projet doit être structurant et doit démontrer de façon significative sa pérennité (aide pouvant être octroyée sur un maximum de deux ans, de façon dégressive).</w:t>
      </w:r>
    </w:p>
    <w:p w:rsidR="00FF25CF" w:rsidRDefault="00FF25CF">
      <w:pPr>
        <w:rPr>
          <w:rFonts w:ascii="Century Gothic" w:eastAsiaTheme="majorEastAsia" w:hAnsi="Century Gothic" w:cstheme="majorBidi"/>
          <w:b/>
          <w:bCs/>
          <w:i/>
        </w:rPr>
      </w:pPr>
      <w:bookmarkStart w:id="1" w:name="_Toc435704288"/>
      <w:r>
        <w:rPr>
          <w:rFonts w:ascii="Century Gothic" w:hAnsi="Century Gothic"/>
          <w:i/>
        </w:rPr>
        <w:br w:type="page"/>
      </w:r>
    </w:p>
    <w:p w:rsidR="00C04B82" w:rsidRPr="00192943" w:rsidRDefault="00C04B82" w:rsidP="00C04B82">
      <w:pPr>
        <w:pStyle w:val="Titre2"/>
        <w:numPr>
          <w:ilvl w:val="1"/>
          <w:numId w:val="1"/>
        </w:numPr>
        <w:ind w:left="1428"/>
        <w:rPr>
          <w:rFonts w:ascii="Century Gothic" w:hAnsi="Century Gothic"/>
          <w:i/>
          <w:color w:val="auto"/>
          <w:sz w:val="22"/>
          <w:szCs w:val="22"/>
        </w:rPr>
      </w:pPr>
      <w:r>
        <w:rPr>
          <w:rFonts w:ascii="Century Gothic" w:hAnsi="Century Gothic"/>
          <w:i/>
          <w:color w:val="auto"/>
          <w:sz w:val="22"/>
          <w:szCs w:val="22"/>
        </w:rPr>
        <w:lastRenderedPageBreak/>
        <w:t>Volet inter-municipal</w:t>
      </w:r>
      <w:bookmarkEnd w:id="1"/>
    </w:p>
    <w:p w:rsidR="009F5FD0" w:rsidRPr="00C04B82" w:rsidRDefault="009F5FD0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b/>
          <w:sz w:val="20"/>
        </w:rPr>
        <w:t>Subventions pouvant aller jusqu’à un maximum de 25 000$ par projet</w:t>
      </w:r>
      <w:r w:rsidRPr="00C04B82">
        <w:rPr>
          <w:rFonts w:ascii="Century Gothic" w:hAnsi="Century Gothic"/>
          <w:sz w:val="20"/>
        </w:rPr>
        <w:t>;</w:t>
      </w:r>
    </w:p>
    <w:p w:rsidR="009F5FD0" w:rsidRDefault="009F5FD0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C04B82">
        <w:rPr>
          <w:rFonts w:ascii="Century Gothic" w:hAnsi="Century Gothic"/>
          <w:sz w:val="20"/>
        </w:rPr>
        <w:t>Deux appels de projets ont lieu annuellement, en mai et en octobre;</w:t>
      </w:r>
    </w:p>
    <w:p w:rsidR="009F5FD0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>Le projet doit réunir un minimum de trois municipalités. Chacune d’elles doit s’engager financièrement et par résolution des conseils municipaux concernés;</w:t>
      </w:r>
    </w:p>
    <w:p w:rsidR="009F5FD0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>Un minimum de 2 000$ doit être investi par chacune des municipalités concernées afin d’accéder au volet inter-municipal;</w:t>
      </w:r>
    </w:p>
    <w:p w:rsidR="009F5FD0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>Dans le cas où le projet réunirait un minimum de 3 municipalités dévitalisées, un montant de 10 000$ pourra être demandé pour l’an 2;</w:t>
      </w:r>
    </w:p>
    <w:p w:rsidR="009F5FD0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 xml:space="preserve">Le projet doit être inscrit dans les priorités du plan stratégique de développement local des municipalités </w:t>
      </w:r>
      <w:bookmarkStart w:id="2" w:name="_GoBack"/>
      <w:bookmarkEnd w:id="2"/>
      <w:r w:rsidRPr="009F5FD0">
        <w:rPr>
          <w:rFonts w:ascii="Century Gothic" w:hAnsi="Century Gothic"/>
          <w:sz w:val="20"/>
          <w:szCs w:val="20"/>
        </w:rPr>
        <w:t>et d</w:t>
      </w:r>
      <w:r w:rsidR="006F10E2">
        <w:rPr>
          <w:rFonts w:ascii="Century Gothic" w:hAnsi="Century Gothic"/>
          <w:sz w:val="20"/>
          <w:szCs w:val="20"/>
        </w:rPr>
        <w:t>oit se répercuter dans chacune des municipalités</w:t>
      </w:r>
      <w:r w:rsidRPr="009F5FD0">
        <w:rPr>
          <w:rFonts w:ascii="Century Gothic" w:hAnsi="Century Gothic"/>
          <w:sz w:val="20"/>
          <w:szCs w:val="20"/>
        </w:rPr>
        <w:t>;</w:t>
      </w:r>
    </w:p>
    <w:p w:rsidR="009F5FD0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 xml:space="preserve">Le projet </w:t>
      </w:r>
      <w:r w:rsidR="00CB0DA8">
        <w:rPr>
          <w:rFonts w:ascii="Century Gothic" w:hAnsi="Century Gothic"/>
          <w:sz w:val="20"/>
          <w:szCs w:val="20"/>
        </w:rPr>
        <w:t>peut</w:t>
      </w:r>
      <w:r w:rsidRPr="009F5FD0">
        <w:rPr>
          <w:rFonts w:ascii="Century Gothic" w:hAnsi="Century Gothic"/>
          <w:sz w:val="20"/>
          <w:szCs w:val="20"/>
        </w:rPr>
        <w:t xml:space="preserve"> être porté par l’une des municipalités concernées ou </w:t>
      </w:r>
      <w:r w:rsidR="00CB0DA8">
        <w:rPr>
          <w:rFonts w:ascii="Century Gothic" w:hAnsi="Century Gothic"/>
          <w:sz w:val="20"/>
          <w:szCs w:val="20"/>
        </w:rPr>
        <w:t xml:space="preserve">par </w:t>
      </w:r>
      <w:r w:rsidRPr="009F5FD0">
        <w:rPr>
          <w:rFonts w:ascii="Century Gothic" w:hAnsi="Century Gothic"/>
          <w:sz w:val="20"/>
          <w:szCs w:val="20"/>
        </w:rPr>
        <w:t xml:space="preserve">un organisme </w:t>
      </w:r>
      <w:r w:rsidR="00CB0DA8">
        <w:rPr>
          <w:rFonts w:ascii="Century Gothic" w:hAnsi="Century Gothic"/>
          <w:sz w:val="20"/>
          <w:szCs w:val="20"/>
        </w:rPr>
        <w:t>sans but lucratif</w:t>
      </w:r>
      <w:r w:rsidRPr="009F5FD0">
        <w:rPr>
          <w:rFonts w:ascii="Century Gothic" w:hAnsi="Century Gothic"/>
          <w:sz w:val="20"/>
          <w:szCs w:val="20"/>
        </w:rPr>
        <w:t xml:space="preserve"> dûment enregistré;</w:t>
      </w:r>
    </w:p>
    <w:p w:rsidR="00C04B82" w:rsidRPr="009F5FD0" w:rsidRDefault="00C04B82" w:rsidP="009F5FD0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</w:rPr>
      </w:pPr>
      <w:r w:rsidRPr="009F5FD0">
        <w:rPr>
          <w:rFonts w:ascii="Century Gothic" w:hAnsi="Century Gothic"/>
          <w:sz w:val="20"/>
          <w:szCs w:val="20"/>
        </w:rPr>
        <w:t>Le projet doit être structurant et doit démontrer de façon significative sa pérennité.</w:t>
      </w:r>
    </w:p>
    <w:p w:rsidR="009F5FD0" w:rsidRPr="00192943" w:rsidRDefault="009F5FD0" w:rsidP="009F5FD0">
      <w:pPr>
        <w:pStyle w:val="Titre1"/>
        <w:numPr>
          <w:ilvl w:val="0"/>
          <w:numId w:val="1"/>
        </w:numP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Procédures d’analyse</w:t>
      </w:r>
    </w:p>
    <w:p w:rsidR="009F5FD0" w:rsidRDefault="009F5FD0" w:rsidP="009F5FD0">
      <w:pPr>
        <w:pStyle w:val="Titre2"/>
        <w:numPr>
          <w:ilvl w:val="1"/>
          <w:numId w:val="1"/>
        </w:numPr>
        <w:ind w:left="1428"/>
        <w:contextualSpacing/>
        <w:rPr>
          <w:rFonts w:ascii="Century Gothic" w:hAnsi="Century Gothic"/>
          <w:i/>
          <w:color w:val="auto"/>
          <w:sz w:val="22"/>
          <w:szCs w:val="22"/>
        </w:rPr>
      </w:pPr>
      <w:r>
        <w:rPr>
          <w:rFonts w:ascii="Century Gothic" w:hAnsi="Century Gothic"/>
          <w:i/>
          <w:color w:val="auto"/>
          <w:sz w:val="22"/>
          <w:szCs w:val="22"/>
        </w:rPr>
        <w:t>Fonds local</w:t>
      </w:r>
    </w:p>
    <w:p w:rsidR="009F5FD0" w:rsidRDefault="009F5FD0" w:rsidP="009F5FD0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Recommandé positivement ou négativement en</w:t>
      </w:r>
      <w:r w:rsidRPr="009F5FD0">
        <w:rPr>
          <w:rFonts w:ascii="Century Gothic" w:hAnsi="Century Gothic"/>
          <w:sz w:val="20"/>
        </w:rPr>
        <w:t xml:space="preserve"> comité d’analyse</w:t>
      </w:r>
      <w:r>
        <w:rPr>
          <w:rFonts w:ascii="Century Gothic" w:hAnsi="Century Gothic"/>
          <w:sz w:val="20"/>
        </w:rPr>
        <w:t>;</w:t>
      </w:r>
    </w:p>
    <w:p w:rsidR="009F5FD0" w:rsidRDefault="009F5FD0" w:rsidP="009F5FD0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Pour les projets ayant été </w:t>
      </w:r>
      <w:r w:rsidRPr="009F5FD0">
        <w:rPr>
          <w:rFonts w:ascii="Century Gothic" w:hAnsi="Century Gothic"/>
          <w:b/>
          <w:sz w:val="20"/>
        </w:rPr>
        <w:t>recommandés positivement</w:t>
      </w:r>
      <w:r>
        <w:rPr>
          <w:rFonts w:ascii="Century Gothic" w:hAnsi="Century Gothic"/>
          <w:sz w:val="20"/>
        </w:rPr>
        <w:t xml:space="preserve">, </w:t>
      </w:r>
      <w:r w:rsidR="00E92BD1">
        <w:rPr>
          <w:rFonts w:ascii="Century Gothic" w:hAnsi="Century Gothic"/>
          <w:sz w:val="20"/>
        </w:rPr>
        <w:t xml:space="preserve">la </w:t>
      </w:r>
      <w:r w:rsidR="006F10E2">
        <w:rPr>
          <w:rFonts w:ascii="Century Gothic" w:hAnsi="Century Gothic"/>
          <w:sz w:val="20"/>
        </w:rPr>
        <w:t>liste est déposée</w:t>
      </w:r>
      <w:r w:rsidR="00C410F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au </w:t>
      </w:r>
      <w:r w:rsidRPr="009F5FD0">
        <w:rPr>
          <w:rFonts w:ascii="Century Gothic" w:hAnsi="Century Gothic"/>
          <w:b/>
          <w:sz w:val="20"/>
        </w:rPr>
        <w:t>conseil</w:t>
      </w:r>
      <w:r w:rsidRPr="009F5FD0">
        <w:rPr>
          <w:rFonts w:ascii="Century Gothic" w:hAnsi="Century Gothic"/>
          <w:sz w:val="20"/>
        </w:rPr>
        <w:t xml:space="preserve"> </w:t>
      </w:r>
      <w:r w:rsidRPr="009F5FD0">
        <w:rPr>
          <w:rFonts w:ascii="Century Gothic" w:hAnsi="Century Gothic"/>
          <w:b/>
          <w:sz w:val="20"/>
        </w:rPr>
        <w:t xml:space="preserve"> exécutif de la MRC</w:t>
      </w:r>
      <w:r w:rsidR="00FF25CF">
        <w:rPr>
          <w:rFonts w:ascii="Century Gothic" w:hAnsi="Century Gothic"/>
          <w:sz w:val="20"/>
        </w:rPr>
        <w:t>;</w:t>
      </w:r>
    </w:p>
    <w:p w:rsidR="009F5FD0" w:rsidRPr="009F5FD0" w:rsidRDefault="009F5FD0" w:rsidP="009F5FD0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Pour les </w:t>
      </w:r>
      <w:r w:rsidRPr="009F5FD0">
        <w:rPr>
          <w:rFonts w:ascii="Century Gothic" w:hAnsi="Century Gothic"/>
          <w:sz w:val="20"/>
        </w:rPr>
        <w:t xml:space="preserve">projets </w:t>
      </w:r>
      <w:r>
        <w:rPr>
          <w:rFonts w:ascii="Century Gothic" w:hAnsi="Century Gothic"/>
          <w:sz w:val="20"/>
        </w:rPr>
        <w:t xml:space="preserve">ayant été </w:t>
      </w:r>
      <w:r w:rsidRPr="00C410F4">
        <w:rPr>
          <w:rFonts w:ascii="Century Gothic" w:hAnsi="Century Gothic"/>
          <w:b/>
          <w:sz w:val="20"/>
        </w:rPr>
        <w:t>recommandés négativement</w:t>
      </w:r>
      <w:r>
        <w:rPr>
          <w:rFonts w:ascii="Century Gothic" w:hAnsi="Century Gothic"/>
          <w:sz w:val="20"/>
        </w:rPr>
        <w:t xml:space="preserve">, ils </w:t>
      </w:r>
      <w:r w:rsidR="00FF25CF">
        <w:rPr>
          <w:rFonts w:ascii="Century Gothic" w:hAnsi="Century Gothic"/>
          <w:sz w:val="20"/>
        </w:rPr>
        <w:t xml:space="preserve">sont </w:t>
      </w:r>
      <w:r w:rsidRPr="009F5FD0">
        <w:rPr>
          <w:rFonts w:ascii="Century Gothic" w:hAnsi="Century Gothic"/>
          <w:sz w:val="20"/>
        </w:rPr>
        <w:t xml:space="preserve">présentés au </w:t>
      </w:r>
      <w:r w:rsidR="00E92BD1" w:rsidRPr="009F5FD0">
        <w:rPr>
          <w:rFonts w:ascii="Century Gothic" w:hAnsi="Century Gothic"/>
          <w:b/>
          <w:sz w:val="20"/>
        </w:rPr>
        <w:t>conseil</w:t>
      </w:r>
      <w:r w:rsidR="00E92BD1" w:rsidRPr="009F5FD0">
        <w:rPr>
          <w:rFonts w:ascii="Century Gothic" w:hAnsi="Century Gothic"/>
          <w:sz w:val="20"/>
        </w:rPr>
        <w:t xml:space="preserve"> </w:t>
      </w:r>
      <w:r w:rsidR="00E92BD1" w:rsidRPr="009F5FD0">
        <w:rPr>
          <w:rFonts w:ascii="Century Gothic" w:hAnsi="Century Gothic"/>
          <w:b/>
          <w:sz w:val="20"/>
        </w:rPr>
        <w:t xml:space="preserve"> exécutif de la MRC</w:t>
      </w:r>
      <w:r w:rsidRPr="009F5FD0">
        <w:rPr>
          <w:rFonts w:ascii="Century Gothic" w:hAnsi="Century Gothic"/>
          <w:b/>
          <w:sz w:val="20"/>
        </w:rPr>
        <w:t>.</w:t>
      </w:r>
    </w:p>
    <w:p w:rsidR="00FF25CF" w:rsidRDefault="00FF25CF" w:rsidP="00FF25CF">
      <w:pPr>
        <w:pStyle w:val="Titre2"/>
        <w:numPr>
          <w:ilvl w:val="1"/>
          <w:numId w:val="1"/>
        </w:numPr>
        <w:ind w:left="1428"/>
        <w:contextualSpacing/>
        <w:rPr>
          <w:rFonts w:ascii="Century Gothic" w:hAnsi="Century Gothic"/>
          <w:i/>
          <w:color w:val="auto"/>
          <w:sz w:val="22"/>
          <w:szCs w:val="22"/>
        </w:rPr>
      </w:pPr>
      <w:r>
        <w:rPr>
          <w:rFonts w:ascii="Century Gothic" w:hAnsi="Century Gothic"/>
          <w:i/>
          <w:color w:val="auto"/>
          <w:sz w:val="22"/>
          <w:szCs w:val="22"/>
        </w:rPr>
        <w:t>Fonds inter-municipal et régional</w:t>
      </w:r>
    </w:p>
    <w:p w:rsidR="00FF25CF" w:rsidRPr="00FF25CF" w:rsidRDefault="00FF25CF" w:rsidP="00FF25C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</w:rPr>
      </w:pPr>
      <w:r w:rsidRPr="00FF25CF">
        <w:rPr>
          <w:rFonts w:ascii="Century Gothic" w:hAnsi="Century Gothic"/>
          <w:sz w:val="20"/>
        </w:rPr>
        <w:t>Recommandé positivement ou négativement en comité d’analyse;</w:t>
      </w:r>
    </w:p>
    <w:p w:rsidR="00C410F4" w:rsidRDefault="00C410F4" w:rsidP="00C410F4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Pour les projets ayant été </w:t>
      </w:r>
      <w:r w:rsidRPr="009F5FD0">
        <w:rPr>
          <w:rFonts w:ascii="Century Gothic" w:hAnsi="Century Gothic"/>
          <w:b/>
          <w:sz w:val="20"/>
        </w:rPr>
        <w:t>recommandés positivement</w:t>
      </w:r>
      <w:r>
        <w:rPr>
          <w:rFonts w:ascii="Century Gothic" w:hAnsi="Century Gothic"/>
          <w:sz w:val="20"/>
        </w:rPr>
        <w:t xml:space="preserve">, ils sont présentés au </w:t>
      </w:r>
      <w:r w:rsidRPr="009F5FD0">
        <w:rPr>
          <w:rFonts w:ascii="Century Gothic" w:hAnsi="Century Gothic"/>
          <w:b/>
          <w:sz w:val="20"/>
        </w:rPr>
        <w:t>conseil</w:t>
      </w:r>
      <w:r w:rsidRPr="009F5FD0">
        <w:rPr>
          <w:rFonts w:ascii="Century Gothic" w:hAnsi="Century Gothic"/>
          <w:sz w:val="20"/>
        </w:rPr>
        <w:t xml:space="preserve"> </w:t>
      </w:r>
      <w:r w:rsidRPr="009F5FD0">
        <w:rPr>
          <w:rFonts w:ascii="Century Gothic" w:hAnsi="Century Gothic"/>
          <w:b/>
          <w:sz w:val="20"/>
        </w:rPr>
        <w:t xml:space="preserve"> exécutif de la MRC </w:t>
      </w:r>
      <w:r w:rsidRPr="00FF25CF">
        <w:rPr>
          <w:rFonts w:ascii="Century Gothic" w:hAnsi="Century Gothic"/>
          <w:sz w:val="20"/>
        </w:rPr>
        <w:t>pour</w:t>
      </w:r>
      <w:r>
        <w:rPr>
          <w:rFonts w:ascii="Century Gothic" w:hAnsi="Century Gothic"/>
          <w:b/>
          <w:sz w:val="20"/>
        </w:rPr>
        <w:t xml:space="preserve"> </w:t>
      </w:r>
      <w:r w:rsidRPr="009F5FD0">
        <w:rPr>
          <w:rFonts w:ascii="Century Gothic" w:hAnsi="Century Gothic"/>
          <w:sz w:val="20"/>
        </w:rPr>
        <w:t>l’approbation ou le refus</w:t>
      </w:r>
      <w:r>
        <w:rPr>
          <w:rFonts w:ascii="Century Gothic" w:hAnsi="Century Gothic"/>
          <w:sz w:val="20"/>
        </w:rPr>
        <w:t xml:space="preserve"> de l’aide financière demandée;</w:t>
      </w:r>
    </w:p>
    <w:p w:rsidR="00C410F4" w:rsidRPr="009F5FD0" w:rsidRDefault="00C410F4" w:rsidP="00C410F4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Pour les </w:t>
      </w:r>
      <w:r w:rsidRPr="009F5FD0">
        <w:rPr>
          <w:rFonts w:ascii="Century Gothic" w:hAnsi="Century Gothic"/>
          <w:sz w:val="20"/>
        </w:rPr>
        <w:t xml:space="preserve">projets </w:t>
      </w:r>
      <w:r>
        <w:rPr>
          <w:rFonts w:ascii="Century Gothic" w:hAnsi="Century Gothic"/>
          <w:sz w:val="20"/>
        </w:rPr>
        <w:t xml:space="preserve">ayant été </w:t>
      </w:r>
      <w:r w:rsidRPr="00C410F4">
        <w:rPr>
          <w:rFonts w:ascii="Century Gothic" w:hAnsi="Century Gothic"/>
          <w:b/>
          <w:sz w:val="20"/>
        </w:rPr>
        <w:t>recommandés négativement</w:t>
      </w:r>
      <w:r>
        <w:rPr>
          <w:rFonts w:ascii="Century Gothic" w:hAnsi="Century Gothic"/>
          <w:sz w:val="20"/>
        </w:rPr>
        <w:t xml:space="preserve">, ils sont </w:t>
      </w:r>
      <w:r w:rsidRPr="009F5FD0">
        <w:rPr>
          <w:rFonts w:ascii="Century Gothic" w:hAnsi="Century Gothic"/>
          <w:sz w:val="20"/>
        </w:rPr>
        <w:t xml:space="preserve">présentés au </w:t>
      </w:r>
      <w:r w:rsidRPr="009F5FD0">
        <w:rPr>
          <w:rFonts w:ascii="Century Gothic" w:hAnsi="Century Gothic"/>
          <w:b/>
          <w:sz w:val="20"/>
        </w:rPr>
        <w:t>conseil des maires de la MRC.</w:t>
      </w:r>
    </w:p>
    <w:p w:rsidR="00C64CA6" w:rsidRDefault="00C64CA6"/>
    <w:sectPr w:rsidR="00C64CA6" w:rsidSect="00C04B8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FB"/>
    <w:multiLevelType w:val="hybridMultilevel"/>
    <w:tmpl w:val="8334DC1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3A85"/>
    <w:multiLevelType w:val="multilevel"/>
    <w:tmpl w:val="7504B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9B651D"/>
    <w:multiLevelType w:val="hybridMultilevel"/>
    <w:tmpl w:val="8662F1A6"/>
    <w:lvl w:ilvl="0" w:tplc="0C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8C369FC"/>
    <w:multiLevelType w:val="hybridMultilevel"/>
    <w:tmpl w:val="C172D3E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4D6C"/>
    <w:multiLevelType w:val="hybridMultilevel"/>
    <w:tmpl w:val="C744FC2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94F94"/>
    <w:multiLevelType w:val="hybridMultilevel"/>
    <w:tmpl w:val="615206A4"/>
    <w:lvl w:ilvl="0" w:tplc="0C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EDD5915"/>
    <w:multiLevelType w:val="hybridMultilevel"/>
    <w:tmpl w:val="612E7D8E"/>
    <w:lvl w:ilvl="0" w:tplc="0C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5A636D1"/>
    <w:multiLevelType w:val="hybridMultilevel"/>
    <w:tmpl w:val="4E3E28E2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B12132"/>
    <w:multiLevelType w:val="hybridMultilevel"/>
    <w:tmpl w:val="6BD6661A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1B2932"/>
    <w:multiLevelType w:val="hybridMultilevel"/>
    <w:tmpl w:val="1A52FF6A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2"/>
    <w:rsid w:val="003A734F"/>
    <w:rsid w:val="005B5B6D"/>
    <w:rsid w:val="006F10E2"/>
    <w:rsid w:val="009F5FD0"/>
    <w:rsid w:val="00C04B82"/>
    <w:rsid w:val="00C410F4"/>
    <w:rsid w:val="00C64CA6"/>
    <w:rsid w:val="00CB0DA8"/>
    <w:rsid w:val="00E92BD1"/>
    <w:rsid w:val="00F6633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D0"/>
  </w:style>
  <w:style w:type="paragraph" w:styleId="Titre1">
    <w:name w:val="heading 1"/>
    <w:basedOn w:val="Normal"/>
    <w:next w:val="Normal"/>
    <w:link w:val="Titre1Car"/>
    <w:uiPriority w:val="9"/>
    <w:qFormat/>
    <w:rsid w:val="00C0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4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04B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0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04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4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D0"/>
  </w:style>
  <w:style w:type="paragraph" w:styleId="Titre1">
    <w:name w:val="heading 1"/>
    <w:basedOn w:val="Normal"/>
    <w:next w:val="Normal"/>
    <w:link w:val="Titre1Car"/>
    <w:uiPriority w:val="9"/>
    <w:qFormat/>
    <w:rsid w:val="00C0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4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04B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0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04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4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eve-line</dc:creator>
  <cp:lastModifiedBy>eve-line</cp:lastModifiedBy>
  <cp:revision>8</cp:revision>
  <dcterms:created xsi:type="dcterms:W3CDTF">2015-12-10T18:16:00Z</dcterms:created>
  <dcterms:modified xsi:type="dcterms:W3CDTF">2016-03-15T17:51:00Z</dcterms:modified>
</cp:coreProperties>
</file>